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2F0051" w:rsidRPr="00A533F7" w:rsidRDefault="002F0051" w:rsidP="002F0051">
      <w:pPr>
        <w:pStyle w:val="Contenutotabella"/>
        <w:tabs>
          <w:tab w:val="left" w:pos="7371"/>
          <w:tab w:val="left" w:pos="8080"/>
          <w:tab w:val="left" w:pos="8505"/>
        </w:tabs>
        <w:ind w:right="4536"/>
        <w:rPr>
          <w:rFonts w:asciiTheme="minorHAnsi" w:hAnsiTheme="minorHAnsi" w:cs="Arial"/>
          <w:sz w:val="22"/>
          <w:szCs w:val="22"/>
        </w:rPr>
      </w:pPr>
      <w:r w:rsidRPr="00A533F7">
        <w:rPr>
          <w:rFonts w:asciiTheme="minorHAnsi" w:hAnsiTheme="minorHAnsi" w:cs="Arial"/>
          <w:sz w:val="22"/>
          <w:szCs w:val="22"/>
        </w:rPr>
        <w:t xml:space="preserve">Comunicato stampa n° </w:t>
      </w:r>
      <w:r w:rsidR="00B73E39" w:rsidRPr="00A533F7">
        <w:rPr>
          <w:rFonts w:asciiTheme="minorHAnsi" w:hAnsiTheme="minorHAnsi" w:cs="Arial"/>
          <w:sz w:val="22"/>
          <w:szCs w:val="22"/>
        </w:rPr>
        <w:t>3</w:t>
      </w:r>
      <w:r w:rsidR="00A533F7" w:rsidRPr="00A533F7">
        <w:rPr>
          <w:rFonts w:asciiTheme="minorHAnsi" w:hAnsiTheme="minorHAnsi" w:cs="Arial"/>
          <w:sz w:val="22"/>
          <w:szCs w:val="22"/>
        </w:rPr>
        <w:t>7</w:t>
      </w:r>
      <w:r w:rsidR="00550BDD" w:rsidRPr="00A533F7">
        <w:rPr>
          <w:rFonts w:asciiTheme="minorHAnsi" w:hAnsiTheme="minorHAnsi" w:cs="Arial"/>
          <w:sz w:val="22"/>
          <w:szCs w:val="22"/>
        </w:rPr>
        <w:t>/</w:t>
      </w:r>
      <w:r w:rsidRPr="00A533F7">
        <w:rPr>
          <w:rFonts w:asciiTheme="minorHAnsi" w:hAnsiTheme="minorHAnsi" w:cs="Arial"/>
          <w:sz w:val="22"/>
          <w:szCs w:val="22"/>
        </w:rPr>
        <w:t>1</w:t>
      </w:r>
      <w:r w:rsidR="004E27F4" w:rsidRPr="00A533F7">
        <w:rPr>
          <w:rFonts w:asciiTheme="minorHAnsi" w:hAnsiTheme="minorHAnsi" w:cs="Arial"/>
          <w:sz w:val="22"/>
          <w:szCs w:val="22"/>
        </w:rPr>
        <w:t>7</w:t>
      </w:r>
      <w:r w:rsidRPr="00A533F7">
        <w:rPr>
          <w:rFonts w:asciiTheme="minorHAnsi" w:hAnsiTheme="minorHAnsi" w:cs="Arial"/>
          <w:sz w:val="22"/>
          <w:szCs w:val="22"/>
        </w:rPr>
        <w:t xml:space="preserve"> </w:t>
      </w:r>
      <w:r w:rsidR="00826CF6" w:rsidRPr="00A533F7">
        <w:rPr>
          <w:rFonts w:asciiTheme="minorHAnsi" w:hAnsiTheme="minorHAnsi" w:cs="Arial"/>
          <w:sz w:val="22"/>
          <w:szCs w:val="22"/>
        </w:rPr>
        <w:t xml:space="preserve"> </w:t>
      </w:r>
      <w:r w:rsidRPr="00A533F7">
        <w:rPr>
          <w:rFonts w:asciiTheme="minorHAnsi" w:hAnsiTheme="minorHAnsi" w:cs="Arial"/>
          <w:sz w:val="22"/>
          <w:szCs w:val="22"/>
        </w:rPr>
        <w:tab/>
      </w:r>
      <w:r w:rsidR="002E3FCF" w:rsidRPr="00A533F7">
        <w:rPr>
          <w:rFonts w:asciiTheme="minorHAnsi" w:hAnsiTheme="minorHAnsi" w:cs="Arial"/>
          <w:sz w:val="22"/>
          <w:szCs w:val="22"/>
        </w:rPr>
        <w:t xml:space="preserve">    </w:t>
      </w:r>
      <w:r w:rsidR="00550BDD" w:rsidRPr="00A533F7">
        <w:rPr>
          <w:rFonts w:asciiTheme="minorHAnsi" w:hAnsiTheme="minorHAnsi" w:cs="Arial"/>
          <w:sz w:val="22"/>
          <w:szCs w:val="22"/>
        </w:rPr>
        <w:t xml:space="preserve">     </w:t>
      </w:r>
      <w:r w:rsidRPr="00A533F7">
        <w:rPr>
          <w:rFonts w:asciiTheme="minorHAnsi" w:hAnsiTheme="minorHAnsi" w:cs="Arial"/>
          <w:sz w:val="22"/>
          <w:szCs w:val="22"/>
        </w:rPr>
        <w:t xml:space="preserve">Trento, </w:t>
      </w:r>
      <w:r w:rsidR="00A533F7" w:rsidRPr="00A533F7">
        <w:rPr>
          <w:rFonts w:asciiTheme="minorHAnsi" w:hAnsiTheme="minorHAnsi" w:cs="Arial"/>
          <w:sz w:val="22"/>
          <w:szCs w:val="22"/>
        </w:rPr>
        <w:t xml:space="preserve">20 luglio </w:t>
      </w:r>
      <w:r w:rsidRPr="00A533F7">
        <w:rPr>
          <w:rFonts w:asciiTheme="minorHAnsi" w:hAnsiTheme="minorHAnsi" w:cs="Arial"/>
          <w:sz w:val="22"/>
          <w:szCs w:val="22"/>
        </w:rPr>
        <w:t>201</w:t>
      </w:r>
      <w:r w:rsidR="004E27F4" w:rsidRPr="00A533F7">
        <w:rPr>
          <w:rFonts w:asciiTheme="minorHAnsi" w:hAnsiTheme="minorHAnsi" w:cs="Arial"/>
          <w:sz w:val="22"/>
          <w:szCs w:val="22"/>
        </w:rPr>
        <w:t>7</w:t>
      </w:r>
      <w:r w:rsidRPr="00A533F7">
        <w:rPr>
          <w:rFonts w:asciiTheme="minorHAnsi" w:hAnsiTheme="minorHAnsi" w:cs="Arial"/>
          <w:sz w:val="22"/>
          <w:szCs w:val="22"/>
        </w:rPr>
        <w:t xml:space="preserve"> </w:t>
      </w:r>
    </w:p>
    <w:p w:rsidR="00826CF6" w:rsidRDefault="00826CF6" w:rsidP="002F0051">
      <w:pPr>
        <w:pStyle w:val="Contenutotabella"/>
        <w:tabs>
          <w:tab w:val="left" w:pos="7371"/>
          <w:tab w:val="left" w:pos="8080"/>
          <w:tab w:val="left" w:pos="8505"/>
        </w:tabs>
        <w:ind w:right="4536"/>
        <w:rPr>
          <w:rFonts w:asciiTheme="minorHAnsi" w:hAnsiTheme="minorHAnsi" w:cs="Arial"/>
          <w:color w:val="002060"/>
          <w:sz w:val="26"/>
          <w:szCs w:val="26"/>
        </w:rPr>
      </w:pPr>
    </w:p>
    <w:p w:rsidR="00A533F7" w:rsidRPr="00A533F7" w:rsidRDefault="00A533F7" w:rsidP="002F0051">
      <w:pPr>
        <w:pStyle w:val="Contenutotabella"/>
        <w:tabs>
          <w:tab w:val="left" w:pos="7371"/>
          <w:tab w:val="left" w:pos="8080"/>
          <w:tab w:val="left" w:pos="8505"/>
        </w:tabs>
        <w:ind w:right="4536"/>
        <w:rPr>
          <w:rFonts w:asciiTheme="minorHAnsi" w:hAnsiTheme="minorHAnsi" w:cs="Arial"/>
          <w:color w:val="002060"/>
          <w:sz w:val="26"/>
          <w:szCs w:val="26"/>
        </w:rPr>
      </w:pPr>
    </w:p>
    <w:p w:rsidR="00A533F7" w:rsidRPr="00A533F7" w:rsidRDefault="00A533F7" w:rsidP="00A533F7">
      <w:pPr>
        <w:pStyle w:val="Contenutotabella"/>
        <w:tabs>
          <w:tab w:val="left" w:pos="7371"/>
          <w:tab w:val="left" w:pos="8080"/>
          <w:tab w:val="left" w:pos="8505"/>
        </w:tabs>
        <w:jc w:val="center"/>
        <w:rPr>
          <w:rFonts w:asciiTheme="minorHAnsi" w:hAnsiTheme="minorHAnsi" w:cs="Arial"/>
          <w:color w:val="002060"/>
          <w:sz w:val="22"/>
          <w:szCs w:val="22"/>
        </w:rPr>
      </w:pPr>
      <w:r w:rsidRPr="00A533F7">
        <w:rPr>
          <w:rFonts w:asciiTheme="minorHAnsi" w:hAnsiTheme="minorHAnsi" w:cs="Arial"/>
          <w:color w:val="002060"/>
          <w:sz w:val="22"/>
          <w:szCs w:val="22"/>
        </w:rPr>
        <w:t>I LAVORI</w:t>
      </w:r>
      <w:r w:rsidR="00996136">
        <w:rPr>
          <w:rFonts w:asciiTheme="minorHAnsi" w:hAnsiTheme="minorHAnsi" w:cs="Arial"/>
          <w:color w:val="002060"/>
          <w:sz w:val="22"/>
          <w:szCs w:val="22"/>
        </w:rPr>
        <w:t>,</w:t>
      </w:r>
      <w:r w:rsidRPr="00A533F7">
        <w:rPr>
          <w:rFonts w:asciiTheme="minorHAnsi" w:hAnsiTheme="minorHAnsi" w:cs="Arial"/>
          <w:color w:val="002060"/>
          <w:sz w:val="22"/>
          <w:szCs w:val="22"/>
        </w:rPr>
        <w:t xml:space="preserve"> AFFIDATI ALLA DITTA LARES DI VENEZIA, FINANZIATI AL 75% DALLA PROVINCIA</w:t>
      </w:r>
    </w:p>
    <w:p w:rsidR="00A533F7" w:rsidRPr="00A533F7" w:rsidRDefault="00A533F7" w:rsidP="00A533F7">
      <w:pPr>
        <w:pStyle w:val="Contenutotabella"/>
        <w:tabs>
          <w:tab w:val="left" w:pos="7371"/>
          <w:tab w:val="left" w:pos="8080"/>
          <w:tab w:val="left" w:pos="8505"/>
        </w:tabs>
        <w:jc w:val="center"/>
        <w:rPr>
          <w:rFonts w:asciiTheme="minorHAnsi" w:hAnsiTheme="minorHAnsi" w:cs="Arial"/>
          <w:color w:val="002060"/>
          <w:sz w:val="22"/>
          <w:szCs w:val="22"/>
        </w:rPr>
      </w:pPr>
    </w:p>
    <w:p w:rsidR="00A533F7" w:rsidRPr="00A533F7" w:rsidRDefault="00A533F7" w:rsidP="00A533F7">
      <w:pPr>
        <w:pStyle w:val="Contenutotabella"/>
        <w:tabs>
          <w:tab w:val="left" w:pos="7371"/>
          <w:tab w:val="left" w:pos="8080"/>
          <w:tab w:val="left" w:pos="8505"/>
        </w:tabs>
        <w:jc w:val="center"/>
        <w:rPr>
          <w:rFonts w:asciiTheme="minorHAnsi" w:hAnsiTheme="minorHAnsi" w:cs="Arial"/>
          <w:b/>
          <w:color w:val="002060"/>
          <w:sz w:val="36"/>
          <w:szCs w:val="36"/>
        </w:rPr>
      </w:pPr>
      <w:r w:rsidRPr="00A533F7">
        <w:rPr>
          <w:rFonts w:asciiTheme="minorHAnsi" w:hAnsiTheme="minorHAnsi" w:cs="Arial"/>
          <w:b/>
          <w:color w:val="002060"/>
          <w:sz w:val="36"/>
          <w:szCs w:val="36"/>
        </w:rPr>
        <w:t>Cattedrale di Trento, cantiere aperto</w:t>
      </w:r>
    </w:p>
    <w:p w:rsidR="00A533F7" w:rsidRDefault="00A533F7" w:rsidP="00A533F7">
      <w:pPr>
        <w:pStyle w:val="Contenutotabella"/>
        <w:tabs>
          <w:tab w:val="left" w:pos="7371"/>
          <w:tab w:val="left" w:pos="8080"/>
          <w:tab w:val="left" w:pos="8505"/>
        </w:tabs>
        <w:rPr>
          <w:rFonts w:asciiTheme="minorHAnsi" w:hAnsiTheme="minorHAnsi" w:cs="Arial"/>
          <w:color w:val="002060"/>
          <w:sz w:val="26"/>
          <w:szCs w:val="26"/>
        </w:rPr>
      </w:pPr>
    </w:p>
    <w:p w:rsidR="00A533F7" w:rsidRPr="00A533F7" w:rsidRDefault="00A533F7" w:rsidP="00A533F7">
      <w:pPr>
        <w:pStyle w:val="Contenutotabella"/>
        <w:tabs>
          <w:tab w:val="left" w:pos="7371"/>
          <w:tab w:val="left" w:pos="8080"/>
          <w:tab w:val="left" w:pos="8505"/>
        </w:tabs>
        <w:jc w:val="center"/>
        <w:rPr>
          <w:rFonts w:asciiTheme="minorHAnsi" w:hAnsiTheme="minorHAnsi" w:cs="Arial"/>
          <w:b/>
          <w:color w:val="002060"/>
          <w:sz w:val="28"/>
          <w:szCs w:val="28"/>
        </w:rPr>
      </w:pPr>
      <w:r>
        <w:rPr>
          <w:rFonts w:asciiTheme="minorHAnsi" w:hAnsiTheme="minorHAnsi" w:cs="Arial"/>
          <w:b/>
          <w:color w:val="002060"/>
          <w:sz w:val="28"/>
          <w:szCs w:val="28"/>
        </w:rPr>
        <w:t>P</w:t>
      </w:r>
      <w:r w:rsidRPr="00A533F7">
        <w:rPr>
          <w:rFonts w:asciiTheme="minorHAnsi" w:hAnsiTheme="minorHAnsi" w:cs="Arial"/>
          <w:b/>
          <w:color w:val="002060"/>
          <w:sz w:val="28"/>
          <w:szCs w:val="28"/>
        </w:rPr>
        <w:t xml:space="preserve">rosegue il complesso restauro conservativo delle pareti interne, </w:t>
      </w:r>
      <w:r>
        <w:rPr>
          <w:rFonts w:asciiTheme="minorHAnsi" w:hAnsiTheme="minorHAnsi" w:cs="Arial"/>
          <w:b/>
          <w:color w:val="002060"/>
          <w:sz w:val="28"/>
          <w:szCs w:val="28"/>
        </w:rPr>
        <w:t xml:space="preserve">già avviato nel </w:t>
      </w:r>
      <w:r w:rsidRPr="00A533F7">
        <w:rPr>
          <w:rFonts w:asciiTheme="minorHAnsi" w:hAnsiTheme="minorHAnsi" w:cs="Arial"/>
          <w:b/>
          <w:color w:val="002060"/>
          <w:sz w:val="28"/>
          <w:szCs w:val="28"/>
        </w:rPr>
        <w:t>2000.</w:t>
      </w:r>
      <w:r>
        <w:rPr>
          <w:rFonts w:asciiTheme="minorHAnsi" w:hAnsiTheme="minorHAnsi" w:cs="Arial"/>
          <w:b/>
          <w:color w:val="002060"/>
          <w:sz w:val="28"/>
          <w:szCs w:val="28"/>
        </w:rPr>
        <w:t xml:space="preserve"> </w:t>
      </w:r>
      <w:r w:rsidRPr="00A533F7">
        <w:rPr>
          <w:rFonts w:asciiTheme="minorHAnsi" w:hAnsiTheme="minorHAnsi" w:cs="Arial"/>
          <w:b/>
          <w:color w:val="002060"/>
          <w:sz w:val="28"/>
          <w:szCs w:val="28"/>
        </w:rPr>
        <w:t>Il primo di tre lotti (lato nord) terminerà a novembre</w:t>
      </w:r>
      <w:r w:rsidR="00DD01EC">
        <w:rPr>
          <w:rFonts w:asciiTheme="minorHAnsi" w:hAnsiTheme="minorHAnsi" w:cs="Arial"/>
          <w:b/>
          <w:color w:val="002060"/>
          <w:sz w:val="28"/>
          <w:szCs w:val="28"/>
        </w:rPr>
        <w:t>.</w:t>
      </w:r>
    </w:p>
    <w:p w:rsidR="00A533F7" w:rsidRPr="00A533F7" w:rsidRDefault="00A533F7" w:rsidP="00A533F7">
      <w:pPr>
        <w:pStyle w:val="Contenutotabella"/>
        <w:tabs>
          <w:tab w:val="left" w:pos="7371"/>
          <w:tab w:val="left" w:pos="8080"/>
          <w:tab w:val="left" w:pos="8505"/>
        </w:tabs>
        <w:spacing w:line="276" w:lineRule="auto"/>
        <w:jc w:val="both"/>
        <w:rPr>
          <w:rFonts w:asciiTheme="minorHAnsi" w:hAnsiTheme="minorHAnsi" w:cs="Arial"/>
          <w:color w:val="002060"/>
          <w:sz w:val="30"/>
          <w:szCs w:val="30"/>
        </w:rPr>
      </w:pPr>
    </w:p>
    <w:p w:rsidR="00A533F7" w:rsidRDefault="00A533F7" w:rsidP="00A533F7">
      <w:pPr>
        <w:pStyle w:val="Contenutotabella"/>
        <w:tabs>
          <w:tab w:val="left" w:pos="7371"/>
          <w:tab w:val="left" w:pos="8080"/>
          <w:tab w:val="left" w:pos="8505"/>
        </w:tabs>
        <w:spacing w:line="276" w:lineRule="auto"/>
        <w:jc w:val="both"/>
        <w:rPr>
          <w:rFonts w:asciiTheme="minorHAnsi" w:hAnsiTheme="minorHAnsi" w:cs="Arial"/>
          <w:sz w:val="26"/>
          <w:szCs w:val="26"/>
        </w:rPr>
      </w:pPr>
      <w:r w:rsidRPr="00A533F7">
        <w:rPr>
          <w:rFonts w:asciiTheme="minorHAnsi" w:hAnsiTheme="minorHAnsi" w:cs="Arial"/>
          <w:sz w:val="26"/>
          <w:szCs w:val="26"/>
        </w:rPr>
        <w:t xml:space="preserve">Iniziato il 13 marzo scorso, prosegue intensamente il nuovo intervento per il restauro conservativo </w:t>
      </w:r>
      <w:r>
        <w:rPr>
          <w:rFonts w:asciiTheme="minorHAnsi" w:hAnsiTheme="minorHAnsi" w:cs="Arial"/>
          <w:sz w:val="26"/>
          <w:szCs w:val="26"/>
        </w:rPr>
        <w:t xml:space="preserve">all’interno </w:t>
      </w:r>
      <w:r w:rsidRPr="00A533F7">
        <w:rPr>
          <w:rFonts w:asciiTheme="minorHAnsi" w:hAnsiTheme="minorHAnsi" w:cs="Arial"/>
          <w:sz w:val="26"/>
          <w:szCs w:val="26"/>
        </w:rPr>
        <w:t>della cattedrale di Trento. I lavori completano la prima fase d</w:t>
      </w:r>
      <w:r w:rsidR="00144DC4">
        <w:rPr>
          <w:rFonts w:asciiTheme="minorHAnsi" w:hAnsiTheme="minorHAnsi" w:cs="Arial"/>
          <w:sz w:val="26"/>
          <w:szCs w:val="26"/>
        </w:rPr>
        <w:t>el</w:t>
      </w:r>
      <w:r w:rsidRPr="00A533F7">
        <w:rPr>
          <w:rFonts w:asciiTheme="minorHAnsi" w:hAnsiTheme="minorHAnsi" w:cs="Arial"/>
          <w:sz w:val="26"/>
          <w:szCs w:val="26"/>
        </w:rPr>
        <w:t xml:space="preserve"> restauro condotta </w:t>
      </w:r>
      <w:r w:rsidR="00144DC4">
        <w:rPr>
          <w:rFonts w:asciiTheme="minorHAnsi" w:hAnsiTheme="minorHAnsi" w:cs="Arial"/>
          <w:sz w:val="26"/>
          <w:szCs w:val="26"/>
        </w:rPr>
        <w:t>sugli esterni e ne</w:t>
      </w:r>
      <w:r>
        <w:rPr>
          <w:rFonts w:asciiTheme="minorHAnsi" w:hAnsiTheme="minorHAnsi" w:cs="Arial"/>
          <w:sz w:val="26"/>
          <w:szCs w:val="26"/>
        </w:rPr>
        <w:t>lla navata sud in occasione de</w:t>
      </w:r>
      <w:r w:rsidRPr="00A533F7">
        <w:rPr>
          <w:rFonts w:asciiTheme="minorHAnsi" w:hAnsiTheme="minorHAnsi" w:cs="Arial"/>
          <w:sz w:val="26"/>
          <w:szCs w:val="26"/>
        </w:rPr>
        <w:t>l Giubileo de</w:t>
      </w:r>
      <w:r>
        <w:rPr>
          <w:rFonts w:asciiTheme="minorHAnsi" w:hAnsiTheme="minorHAnsi" w:cs="Arial"/>
          <w:sz w:val="26"/>
          <w:szCs w:val="26"/>
        </w:rPr>
        <w:t>l</w:t>
      </w:r>
      <w:r w:rsidRPr="00A533F7">
        <w:rPr>
          <w:rFonts w:asciiTheme="minorHAnsi" w:hAnsiTheme="minorHAnsi" w:cs="Arial"/>
          <w:sz w:val="26"/>
          <w:szCs w:val="26"/>
        </w:rPr>
        <w:t xml:space="preserve"> 2000 e interessano</w:t>
      </w:r>
      <w:r w:rsidR="00144DC4">
        <w:rPr>
          <w:rFonts w:asciiTheme="minorHAnsi" w:hAnsiTheme="minorHAnsi" w:cs="Arial"/>
          <w:sz w:val="26"/>
          <w:szCs w:val="26"/>
        </w:rPr>
        <w:t>,</w:t>
      </w:r>
      <w:r w:rsidRPr="00A533F7">
        <w:rPr>
          <w:rFonts w:asciiTheme="minorHAnsi" w:hAnsiTheme="minorHAnsi" w:cs="Arial"/>
          <w:sz w:val="26"/>
          <w:szCs w:val="26"/>
        </w:rPr>
        <w:t xml:space="preserve"> attualmente</w:t>
      </w:r>
      <w:r w:rsidR="00144DC4">
        <w:rPr>
          <w:rFonts w:asciiTheme="minorHAnsi" w:hAnsiTheme="minorHAnsi" w:cs="Arial"/>
          <w:sz w:val="26"/>
          <w:szCs w:val="26"/>
        </w:rPr>
        <w:t>,</w:t>
      </w:r>
      <w:r w:rsidRPr="00A533F7">
        <w:rPr>
          <w:rFonts w:asciiTheme="minorHAnsi" w:hAnsiTheme="minorHAnsi" w:cs="Arial"/>
          <w:sz w:val="26"/>
          <w:szCs w:val="26"/>
        </w:rPr>
        <w:t xml:space="preserve"> la parete nord. Seguiranno altri due lotti per gli interventi alla navata centrale e alla zona del transetto e dell'abside. </w:t>
      </w:r>
    </w:p>
    <w:p w:rsidR="00A533F7" w:rsidRPr="00A533F7" w:rsidRDefault="003D362C" w:rsidP="00A533F7">
      <w:pPr>
        <w:pStyle w:val="Contenutotabella"/>
        <w:tabs>
          <w:tab w:val="left" w:pos="7371"/>
          <w:tab w:val="left" w:pos="8080"/>
          <w:tab w:val="left" w:pos="8505"/>
        </w:tabs>
        <w:spacing w:line="276" w:lineRule="auto"/>
        <w:jc w:val="both"/>
        <w:rPr>
          <w:rFonts w:asciiTheme="minorHAnsi" w:hAnsiTheme="minorHAnsi" w:cs="Arial"/>
          <w:sz w:val="26"/>
          <w:szCs w:val="26"/>
        </w:rPr>
      </w:pPr>
      <w:r>
        <w:rPr>
          <w:rFonts w:asciiTheme="minorHAnsi" w:hAnsiTheme="minorHAnsi" w:cs="Arial"/>
          <w:sz w:val="26"/>
          <w:szCs w:val="26"/>
        </w:rPr>
        <w:t xml:space="preserve">Nel concreto, i lavori comprendono la pulizia di pareti, pilastri, soffitto e la messa in sicurezza </w:t>
      </w:r>
      <w:r w:rsidR="00144DC4">
        <w:rPr>
          <w:rFonts w:asciiTheme="minorHAnsi" w:hAnsiTheme="minorHAnsi" w:cs="Arial"/>
          <w:sz w:val="26"/>
          <w:szCs w:val="26"/>
        </w:rPr>
        <w:t>strutturale d</w:t>
      </w:r>
      <w:r>
        <w:rPr>
          <w:rFonts w:asciiTheme="minorHAnsi" w:hAnsiTheme="minorHAnsi" w:cs="Arial"/>
          <w:sz w:val="26"/>
          <w:szCs w:val="26"/>
        </w:rPr>
        <w:t xml:space="preserve">el complesso architettonico. </w:t>
      </w:r>
      <w:r w:rsidR="00A533F7" w:rsidRPr="00A533F7">
        <w:rPr>
          <w:rFonts w:asciiTheme="minorHAnsi" w:hAnsiTheme="minorHAnsi" w:cs="Arial"/>
          <w:sz w:val="26"/>
          <w:szCs w:val="26"/>
        </w:rPr>
        <w:t xml:space="preserve">Il progetto è stato sviluppato da un importante team di specialisti composto dall'arch. Maria Antonietta Crippa e dal prof. Ferdinando </w:t>
      </w:r>
      <w:proofErr w:type="spellStart"/>
      <w:r w:rsidR="00A533F7" w:rsidRPr="00A533F7">
        <w:rPr>
          <w:rFonts w:asciiTheme="minorHAnsi" w:hAnsiTheme="minorHAnsi" w:cs="Arial"/>
          <w:sz w:val="26"/>
          <w:szCs w:val="26"/>
        </w:rPr>
        <w:t>Zanzottera</w:t>
      </w:r>
      <w:proofErr w:type="spellEnd"/>
      <w:r w:rsidR="00A533F7" w:rsidRPr="00A533F7">
        <w:rPr>
          <w:rFonts w:asciiTheme="minorHAnsi" w:hAnsiTheme="minorHAnsi" w:cs="Arial"/>
          <w:sz w:val="26"/>
          <w:szCs w:val="26"/>
        </w:rPr>
        <w:t xml:space="preserve"> del Politecnico di Milano, dalla dott.ssa Giovanna Alessandrini, dal prof. Claudio Modena, coordinati dall'arch. Ivo Maria </w:t>
      </w:r>
      <w:proofErr w:type="spellStart"/>
      <w:r w:rsidR="00A533F7" w:rsidRPr="00A533F7">
        <w:rPr>
          <w:rFonts w:asciiTheme="minorHAnsi" w:hAnsiTheme="minorHAnsi" w:cs="Arial"/>
          <w:sz w:val="26"/>
          <w:szCs w:val="26"/>
        </w:rPr>
        <w:t>Bonapace</w:t>
      </w:r>
      <w:proofErr w:type="spellEnd"/>
      <w:r w:rsidR="00A533F7" w:rsidRPr="00A533F7">
        <w:rPr>
          <w:rFonts w:asciiTheme="minorHAnsi" w:hAnsiTheme="minorHAnsi" w:cs="Arial"/>
          <w:sz w:val="26"/>
          <w:szCs w:val="26"/>
        </w:rPr>
        <w:t xml:space="preserve"> di Pinzolo a cui </w:t>
      </w:r>
      <w:r w:rsidR="00A533F7">
        <w:rPr>
          <w:rFonts w:asciiTheme="minorHAnsi" w:hAnsiTheme="minorHAnsi" w:cs="Arial"/>
          <w:sz w:val="26"/>
          <w:szCs w:val="26"/>
        </w:rPr>
        <w:t xml:space="preserve">spetta </w:t>
      </w:r>
      <w:r w:rsidR="00A533F7" w:rsidRPr="00A533F7">
        <w:rPr>
          <w:rFonts w:asciiTheme="minorHAnsi" w:hAnsiTheme="minorHAnsi" w:cs="Arial"/>
          <w:sz w:val="26"/>
          <w:szCs w:val="26"/>
        </w:rPr>
        <w:t xml:space="preserve">la direzione lavori. </w:t>
      </w:r>
    </w:p>
    <w:p w:rsidR="00A533F7" w:rsidRPr="00A533F7" w:rsidRDefault="003D362C" w:rsidP="00A533F7">
      <w:pPr>
        <w:pStyle w:val="Contenutotabella"/>
        <w:tabs>
          <w:tab w:val="left" w:pos="7371"/>
          <w:tab w:val="left" w:pos="8080"/>
          <w:tab w:val="left" w:pos="8505"/>
        </w:tabs>
        <w:spacing w:line="276" w:lineRule="auto"/>
        <w:jc w:val="both"/>
        <w:rPr>
          <w:rFonts w:asciiTheme="minorHAnsi" w:hAnsiTheme="minorHAnsi" w:cs="Arial"/>
          <w:sz w:val="26"/>
          <w:szCs w:val="26"/>
        </w:rPr>
      </w:pPr>
      <w:r>
        <w:rPr>
          <w:rFonts w:asciiTheme="minorHAnsi" w:hAnsiTheme="minorHAnsi" w:cs="Arial"/>
          <w:sz w:val="26"/>
          <w:szCs w:val="26"/>
        </w:rPr>
        <w:t>L’esecuzione dei</w:t>
      </w:r>
      <w:r w:rsidR="00A533F7" w:rsidRPr="00A533F7">
        <w:rPr>
          <w:rFonts w:asciiTheme="minorHAnsi" w:hAnsiTheme="minorHAnsi" w:cs="Arial"/>
          <w:sz w:val="26"/>
          <w:szCs w:val="26"/>
        </w:rPr>
        <w:t xml:space="preserve"> lavori </w:t>
      </w:r>
      <w:r>
        <w:rPr>
          <w:rFonts w:asciiTheme="minorHAnsi" w:hAnsiTheme="minorHAnsi" w:cs="Arial"/>
          <w:sz w:val="26"/>
          <w:szCs w:val="26"/>
        </w:rPr>
        <w:t xml:space="preserve">è stata </w:t>
      </w:r>
      <w:r w:rsidR="00A533F7" w:rsidRPr="00A533F7">
        <w:rPr>
          <w:rFonts w:asciiTheme="minorHAnsi" w:hAnsiTheme="minorHAnsi" w:cs="Arial"/>
          <w:sz w:val="26"/>
          <w:szCs w:val="26"/>
        </w:rPr>
        <w:t>affidat</w:t>
      </w:r>
      <w:r>
        <w:rPr>
          <w:rFonts w:asciiTheme="minorHAnsi" w:hAnsiTheme="minorHAnsi" w:cs="Arial"/>
          <w:sz w:val="26"/>
          <w:szCs w:val="26"/>
        </w:rPr>
        <w:t>a</w:t>
      </w:r>
      <w:r w:rsidR="00A533F7" w:rsidRPr="00A533F7">
        <w:rPr>
          <w:rFonts w:asciiTheme="minorHAnsi" w:hAnsiTheme="minorHAnsi" w:cs="Arial"/>
          <w:sz w:val="26"/>
          <w:szCs w:val="26"/>
        </w:rPr>
        <w:t xml:space="preserve"> alla ditta Lares Restauri di Venezia per un importo complessivo</w:t>
      </w:r>
      <w:r w:rsidR="00A533F7">
        <w:rPr>
          <w:rFonts w:asciiTheme="minorHAnsi" w:hAnsiTheme="minorHAnsi" w:cs="Arial"/>
          <w:sz w:val="26"/>
          <w:szCs w:val="26"/>
        </w:rPr>
        <w:t>,</w:t>
      </w:r>
      <w:r w:rsidR="00A533F7" w:rsidRPr="00A533F7">
        <w:rPr>
          <w:rFonts w:asciiTheme="minorHAnsi" w:hAnsiTheme="minorHAnsi" w:cs="Arial"/>
          <w:sz w:val="26"/>
          <w:szCs w:val="26"/>
        </w:rPr>
        <w:t xml:space="preserve"> per il primo lotto</w:t>
      </w:r>
      <w:r w:rsidR="00A533F7">
        <w:rPr>
          <w:rFonts w:asciiTheme="minorHAnsi" w:hAnsiTheme="minorHAnsi" w:cs="Arial"/>
          <w:sz w:val="26"/>
          <w:szCs w:val="26"/>
        </w:rPr>
        <w:t>,</w:t>
      </w:r>
      <w:r w:rsidR="00A533F7" w:rsidRPr="00A533F7">
        <w:rPr>
          <w:rFonts w:asciiTheme="minorHAnsi" w:hAnsiTheme="minorHAnsi" w:cs="Arial"/>
          <w:sz w:val="26"/>
          <w:szCs w:val="26"/>
        </w:rPr>
        <w:t xml:space="preserve"> di 813.980 euro. Alla procedura d’appalto, </w:t>
      </w:r>
      <w:r w:rsidR="00A533F7">
        <w:rPr>
          <w:rFonts w:asciiTheme="minorHAnsi" w:hAnsiTheme="minorHAnsi" w:cs="Arial"/>
          <w:sz w:val="26"/>
          <w:szCs w:val="26"/>
        </w:rPr>
        <w:t xml:space="preserve">avviata </w:t>
      </w:r>
      <w:r w:rsidR="00A533F7" w:rsidRPr="00A533F7">
        <w:rPr>
          <w:rFonts w:asciiTheme="minorHAnsi" w:hAnsiTheme="minorHAnsi" w:cs="Arial"/>
          <w:sz w:val="26"/>
          <w:szCs w:val="26"/>
        </w:rPr>
        <w:t xml:space="preserve">dall’Arcidiocesi di Trento nel marzo 2016, erano state invitate undici ditte di cui sei provenienti dal territorio provinciale e cinque extra-provinciali. Tra le nove offerte ricevute, una commissione di cinque esperti, appositamente costituita, ha scelto quella economicamente più vantaggiosa (con uno sconto del 27% sull’importo a base dell’appalto pari a 1.052.800 Euro) e con la migliore garanzia di congruità nell’esecuzione dell’opera. </w:t>
      </w:r>
    </w:p>
    <w:p w:rsidR="00A533F7" w:rsidRPr="00A533F7" w:rsidRDefault="00A533F7" w:rsidP="00A533F7">
      <w:pPr>
        <w:pStyle w:val="Contenutotabella"/>
        <w:tabs>
          <w:tab w:val="left" w:pos="7371"/>
          <w:tab w:val="left" w:pos="8080"/>
          <w:tab w:val="left" w:pos="8505"/>
        </w:tabs>
        <w:spacing w:line="276" w:lineRule="auto"/>
        <w:jc w:val="both"/>
        <w:rPr>
          <w:rFonts w:asciiTheme="minorHAnsi" w:hAnsiTheme="minorHAnsi" w:cs="Arial"/>
          <w:sz w:val="26"/>
          <w:szCs w:val="26"/>
        </w:rPr>
      </w:pPr>
      <w:r w:rsidRPr="00A533F7">
        <w:rPr>
          <w:rFonts w:asciiTheme="minorHAnsi" w:hAnsiTheme="minorHAnsi" w:cs="Arial"/>
          <w:sz w:val="26"/>
          <w:szCs w:val="26"/>
        </w:rPr>
        <w:t>Come già avvenuto per gli interventi precedenti, anche questi tre lotti di completamento del restauro conservativo interno della Cattedrale sono stati ammessi a finanziamento dalla Provincia Autonoma di Trento che ha previsto un contributo di 4.657.500 euro, pari al 75% del costo complessivo dei tre interventi.</w:t>
      </w:r>
    </w:p>
    <w:p w:rsidR="003D362C" w:rsidRDefault="00A533F7" w:rsidP="00A533F7">
      <w:pPr>
        <w:pStyle w:val="Contenutotabella"/>
        <w:tabs>
          <w:tab w:val="left" w:pos="7371"/>
          <w:tab w:val="left" w:pos="8080"/>
          <w:tab w:val="left" w:pos="8505"/>
        </w:tabs>
        <w:spacing w:line="276" w:lineRule="auto"/>
        <w:jc w:val="both"/>
        <w:rPr>
          <w:rFonts w:asciiTheme="minorHAnsi" w:hAnsiTheme="minorHAnsi" w:cs="Arial"/>
          <w:sz w:val="26"/>
          <w:szCs w:val="26"/>
        </w:rPr>
      </w:pPr>
      <w:r w:rsidRPr="00A533F7">
        <w:rPr>
          <w:rFonts w:asciiTheme="minorHAnsi" w:hAnsiTheme="minorHAnsi" w:cs="Arial"/>
          <w:sz w:val="26"/>
          <w:szCs w:val="26"/>
        </w:rPr>
        <w:t>I lavori del primo lotto si concluderanno nel mese di novembre. L’Arcidiocesi di Trento sta ultimando la preparazione delle gare di appalto per l’affidamento dei lavori degli ultimi due lotti di intervento che saranno avviate prossim</w:t>
      </w:r>
      <w:bookmarkStart w:id="0" w:name="_GoBack"/>
      <w:bookmarkEnd w:id="0"/>
      <w:r w:rsidRPr="00A533F7">
        <w:rPr>
          <w:rFonts w:asciiTheme="minorHAnsi" w:hAnsiTheme="minorHAnsi" w:cs="Arial"/>
          <w:sz w:val="26"/>
          <w:szCs w:val="26"/>
        </w:rPr>
        <w:t>amente.</w:t>
      </w:r>
      <w:r w:rsidR="003D362C">
        <w:rPr>
          <w:rFonts w:asciiTheme="minorHAnsi" w:hAnsiTheme="minorHAnsi" w:cs="Arial"/>
          <w:sz w:val="26"/>
          <w:szCs w:val="26"/>
        </w:rPr>
        <w:t xml:space="preserve"> </w:t>
      </w:r>
    </w:p>
    <w:sectPr w:rsidR="003D362C"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4897"/>
    <w:rsid w:val="00074A54"/>
    <w:rsid w:val="000B6BB6"/>
    <w:rsid w:val="000C323E"/>
    <w:rsid w:val="00144DC4"/>
    <w:rsid w:val="00152744"/>
    <w:rsid w:val="001B3BBF"/>
    <w:rsid w:val="001C6E95"/>
    <w:rsid w:val="001D63D2"/>
    <w:rsid w:val="00215D62"/>
    <w:rsid w:val="00234B16"/>
    <w:rsid w:val="00260042"/>
    <w:rsid w:val="00263728"/>
    <w:rsid w:val="002B28E0"/>
    <w:rsid w:val="002E3FCF"/>
    <w:rsid w:val="002F0051"/>
    <w:rsid w:val="0033156E"/>
    <w:rsid w:val="003D362C"/>
    <w:rsid w:val="00430624"/>
    <w:rsid w:val="004D0BF6"/>
    <w:rsid w:val="004D254F"/>
    <w:rsid w:val="004E0F86"/>
    <w:rsid w:val="004E27F4"/>
    <w:rsid w:val="00525185"/>
    <w:rsid w:val="005256AA"/>
    <w:rsid w:val="0054584E"/>
    <w:rsid w:val="00550BDD"/>
    <w:rsid w:val="00555668"/>
    <w:rsid w:val="00556007"/>
    <w:rsid w:val="00582A43"/>
    <w:rsid w:val="00587052"/>
    <w:rsid w:val="00596EDD"/>
    <w:rsid w:val="005A2A73"/>
    <w:rsid w:val="005F2B19"/>
    <w:rsid w:val="0065022C"/>
    <w:rsid w:val="00674236"/>
    <w:rsid w:val="00686E56"/>
    <w:rsid w:val="006E2CA5"/>
    <w:rsid w:val="006E3D7A"/>
    <w:rsid w:val="007172B4"/>
    <w:rsid w:val="0075721E"/>
    <w:rsid w:val="007868CC"/>
    <w:rsid w:val="00786ECF"/>
    <w:rsid w:val="007A335E"/>
    <w:rsid w:val="007C1E16"/>
    <w:rsid w:val="007E5E51"/>
    <w:rsid w:val="007F7C35"/>
    <w:rsid w:val="00826CF6"/>
    <w:rsid w:val="00867242"/>
    <w:rsid w:val="008720A0"/>
    <w:rsid w:val="008B0CE0"/>
    <w:rsid w:val="008B7C55"/>
    <w:rsid w:val="008E45E9"/>
    <w:rsid w:val="00944D3C"/>
    <w:rsid w:val="009528E6"/>
    <w:rsid w:val="00996136"/>
    <w:rsid w:val="009A4D3C"/>
    <w:rsid w:val="009A79BF"/>
    <w:rsid w:val="009D67DD"/>
    <w:rsid w:val="009E5342"/>
    <w:rsid w:val="00A047AC"/>
    <w:rsid w:val="00A533F7"/>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8287D"/>
    <w:rsid w:val="00C93BF1"/>
    <w:rsid w:val="00CC1AF1"/>
    <w:rsid w:val="00CD50CE"/>
    <w:rsid w:val="00CF2B1E"/>
    <w:rsid w:val="00D10691"/>
    <w:rsid w:val="00D1193A"/>
    <w:rsid w:val="00D3332D"/>
    <w:rsid w:val="00DD01EC"/>
    <w:rsid w:val="00DD10D1"/>
    <w:rsid w:val="00DE19F7"/>
    <w:rsid w:val="00E708CE"/>
    <w:rsid w:val="00ED1CE1"/>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8176-ED8E-4985-9896-D617C169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4</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2585</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2</cp:revision>
  <cp:lastPrinted>2017-07-20T12:31:00Z</cp:lastPrinted>
  <dcterms:created xsi:type="dcterms:W3CDTF">2017-07-20T13:13:00Z</dcterms:created>
  <dcterms:modified xsi:type="dcterms:W3CDTF">2017-07-20T13:13:00Z</dcterms:modified>
</cp:coreProperties>
</file>